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5" w:rsidRPr="00F20590" w:rsidRDefault="00120D65">
      <w:pPr>
        <w:rPr>
          <w:rFonts w:ascii="Sylfaen" w:hAnsi="Sylfaen"/>
          <w:sz w:val="18"/>
          <w:szCs w:val="18"/>
          <w:lang w:val="ka-GE"/>
        </w:rPr>
      </w:pPr>
    </w:p>
    <w:p w:rsidR="00F20590" w:rsidRPr="00BA5B5F" w:rsidRDefault="000E4928" w:rsidP="00BA5B5F">
      <w:pPr>
        <w:shd w:val="clear" w:color="auto" w:fill="FFFFFF"/>
        <w:spacing w:line="273" w:lineRule="atLeast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524125" cy="990600"/>
            <wp:effectExtent l="0" t="0" r="9525" b="0"/>
            <wp:docPr id="1" name="Picture 1" descr="Description: Finca Bank - 20 წელი - Yelow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nca Bank - 20 წელი - Yelow 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FD70CF" w:rsidRPr="00F20590" w:rsidTr="0022525B">
        <w:trPr>
          <w:trHeight w:val="1323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E4928" w:rsidRDefault="000E4928" w:rsidP="000E4928">
            <w:pPr>
              <w:rPr>
                <w:rFonts w:ascii="Sylfaen" w:hAnsi="Sylfaen"/>
                <w:color w:val="333333"/>
                <w:sz w:val="18"/>
                <w:szCs w:val="18"/>
                <w:lang w:val="ka-GE"/>
              </w:rPr>
            </w:pP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ს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ფინკა ბანკი საქართველო მიკროსაფინანსო ჰოლდინგის FINCA Microfinance Holdings (FMH) გლობალური ქსელის ნაწილ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ია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, ფინკა ბანკს ძლიერი საერთაშორისო ფინანსური პარტნიორები ჰყავს როგორიცაა: FINCA International (USA), საერთაშორისო ფინანსური კორპორაცია (IFC, World Bank Group) (USA), KFW Bankengruppe-გერმანიის განვითარების ბანკი, FMO-ნიდერლანდების გაერთიანებული ბანკი, responsAbility Social Investments AG, და Triple Jump.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სს ფინკა ბანკი საქართველო, დღეისათვის </w:t>
            </w:r>
            <w:r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>36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სერვის ცენტრის საშუალებით საბანკო მომსახურებას უწევს </w:t>
            </w:r>
            <w:r w:rsidRPr="00407786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100 </w:t>
            </w:r>
            <w:r w:rsidRPr="0037622B">
              <w:rPr>
                <w:rFonts w:ascii="Sylfaen" w:hAnsi="Sylfaen"/>
                <w:color w:val="333333"/>
                <w:sz w:val="18"/>
                <w:szCs w:val="18"/>
                <w:lang w:val="ka-GE"/>
              </w:rPr>
              <w:t xml:space="preserve"> 000-ზე მეტ მომხმარებელს ქვეყნის თითქმის ყველა რეგიონში</w:t>
            </w:r>
          </w:p>
          <w:p w:rsidR="005D5CB0" w:rsidRPr="0037622B" w:rsidRDefault="005D5CB0" w:rsidP="005D5CB0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სს „ფინკა ბანკი საქართველო“ აცხადებს ტენდერს:</w:t>
            </w:r>
          </w:p>
          <w:p w:rsidR="00FD70CF" w:rsidRPr="0037622B" w:rsidRDefault="005D5CB0" w:rsidP="0037622B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ორგანიზაციის </w:t>
            </w:r>
            <w:proofErr w:type="spellStart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თანამშრომ</w:t>
            </w:r>
            <w:r w:rsidR="0037622B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ე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ლ</w:t>
            </w:r>
            <w:proofErr w:type="spellEnd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თა ავტოსატრანსპორტო საშუალების</w:t>
            </w:r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დაზღვევაზე</w:t>
            </w:r>
            <w:proofErr w:type="spellEnd"/>
            <w:r w:rsidR="00A72A58"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(თბილისსა და რეგიონებში)</w:t>
            </w:r>
            <w:r w:rsidRPr="0037622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D70CF" w:rsidRPr="00F20590" w:rsidTr="0022525B">
        <w:trPr>
          <w:trHeight w:val="142"/>
        </w:trPr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70CF" w:rsidRPr="00566EC3" w:rsidRDefault="00170623" w:rsidP="005A24F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ხელშეკრულება დაიდება 1 წლის ვადით.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9958D7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სადაზღვევო </w:t>
            </w:r>
            <w:r w:rsidR="00566EC3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პერიოდი 15 ოქტომბერი 2018-15 ოქტომბერი 2019.</w:t>
            </w:r>
          </w:p>
        </w:tc>
      </w:tr>
      <w:tr w:rsidR="00FD70CF" w:rsidRPr="00A84F7F" w:rsidTr="00106B3C">
        <w:tc>
          <w:tcPr>
            <w:tcW w:w="9630" w:type="dxa"/>
            <w:tcBorders>
              <w:top w:val="single" w:sz="2" w:space="0" w:color="DADADA"/>
              <w:left w:val="single" w:sz="2" w:space="0" w:color="DADADA"/>
              <w:bottom w:val="single" w:sz="6" w:space="0" w:color="DADADA"/>
              <w:right w:val="single" w:sz="2" w:space="0" w:color="DADADA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320EA" w:rsidRPr="00686A0F" w:rsidRDefault="00365C48" w:rsidP="002453E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</w:t>
            </w:r>
            <w:r w:rsidR="001F5529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აზღვეული სატრანსპორტო საშუალებ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ის (მსუბუქი ავტომანქანა) სავარაუდო რაოდენობა:  </w:t>
            </w:r>
            <w:r w:rsidR="000E492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40-50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="00766F1B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რაც</w:t>
            </w:r>
            <w:r w:rsidR="00B320EA"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ეტაპობრივად </w:t>
            </w:r>
            <w:r w:rsidR="00B320EA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გაიზრდება.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გენერალური ხელშეკრულების საფუძველზე გარდა ორგანიზაციის მიერ დაზღვეული მანქანებისა, ასევე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გათვალისწინებული უნდა იყოს </w:t>
            </w:r>
            <w:r w:rsidR="00686A0F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ორგანიზაციის ნებისმიერი თანამშრომელთან ხელშეკრულების გაფორმება  სატრანსპორტო საშუალების დაზღვევაზე შემოთავაზებული კორპორატიული ფასით, გენერალური ხელშეკრულების </w:t>
            </w:r>
            <w:r w:rsidR="000738D5" w:rsidRPr="009566F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ფარგლებში.</w:t>
            </w:r>
            <w:r w:rsidR="000738D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  </w:t>
            </w:r>
          </w:p>
          <w:p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ტენდერში მონაწილე სადაზღვევო კომპანიებმა უნდა გაითვალისწინონ შემდეგი აუცილებელი პირობები მათ მიერ წარმოდგენილ შემოთავაზებებში: </w:t>
            </w:r>
          </w:p>
          <w:p w:rsidR="00BF0CA5" w:rsidRPr="0037622B" w:rsidRDefault="00BF0CA5" w:rsidP="00BF0CA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  <w:r w:rsidRPr="0037622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აუცილებელი პირობა: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</w:p>
          <w:p w:rsidR="00BF0CA5" w:rsidRPr="0037622B" w:rsidRDefault="00BF0CA5" w:rsidP="00BF0CA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სადაზღვევო რისკები, კერძოდ: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E4928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ავტოსაგზაო შემთხვევა,</w:t>
            </w:r>
            <w:r w:rsidR="00B238F2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ავტოტრანსპორტისათვის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გარეგანი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ზემოქმედებით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მიყენებული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დაზიანება</w:t>
            </w:r>
            <w:proofErr w:type="spellEnd"/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დაზღვევის საგნის გატაცება,  ხანძარი, წყალდიდობა, აფეთქება, მიწისძვრა, შტორმი, ქარიშხალი,</w:t>
            </w:r>
            <w:r w:rsidRPr="0037622B">
              <w:rPr>
                <w:rFonts w:ascii="LitNusx" w:hAnsi="LitNusx"/>
                <w:noProof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სეტყვა, მეხის დაცემა, ნიადაგის ჩამოშლა, მეწყერი, თვითმფრინავის ან სხვა საჰაერო ტრანსპორტის და მათი ნაწილების ჩამოვარდნა, უხვთოვლიანობა, წყალგაყვანილობის სისტემის მწყობრიდან უეცარი და მოულოდნელი გამოსვლა</w:t>
            </w:r>
            <w:r w:rsidR="00ED673E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,</w:t>
            </w: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 xml:space="preserve"> მათ შორის ქურდობა, ძარცვა, ყაჩაღობა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და მათი მცდელობა, მესამე მხარის მიერ განზრახ მიყენებული ზიანი, სატრანსპორტო საშუალებით მიყენებული ზიანი.</w:t>
            </w:r>
          </w:p>
          <w:p w:rsidR="00BF0CA5" w:rsidRPr="00D00C6E" w:rsidRDefault="00BF0CA5" w:rsidP="00D00C6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ka-GE"/>
              </w:rPr>
              <w:t>სამოქალაქო პასუხისმგებლობა მესამე პირთა წინაშე.</w:t>
            </w:r>
          </w:p>
          <w:p w:rsidR="00D00C6E" w:rsidRPr="00D00C6E" w:rsidRDefault="00D00C6E" w:rsidP="00D00C6E">
            <w:pPr>
              <w:spacing w:after="0" w:line="240" w:lineRule="auto"/>
              <w:ind w:left="720"/>
              <w:contextualSpacing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  <w:p w:rsidR="00BF0CA5" w:rsidRPr="00D00C6E" w:rsidRDefault="00BF0CA5" w:rsidP="00D00C6E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კომპანიების მიერ წარმოდგენილი სატენდერო წინადადება უნდა შეიცავდეს შემდეგ ინფორმაციას: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თქვენს მიერ შემოთავაზებულ პროდუქტზე სრულად შევსებული დოკუმენტი;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ხარჯების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ანაზღაურების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პირობები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საჭირო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დოკუმენტები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პროცედურა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გამონაკლისების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დეტალური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სია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- რ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ომელიც </w:t>
            </w: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არ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ექვემდებარება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ანაზღაურებას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:rsidR="00BF0CA5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სადაზღვევო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ანგარიშსწორების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პირობები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;</w:t>
            </w:r>
          </w:p>
          <w:p w:rsidR="00B238F2" w:rsidRPr="00A84F7F" w:rsidRDefault="00B238F2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A84F7F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სადაზღვევო არეალი უნდა მოიცავდეს (საქართველო; აზერ</w:t>
            </w:r>
            <w:bookmarkStart w:id="0" w:name="_GoBack"/>
            <w:bookmarkEnd w:id="0"/>
            <w:r w:rsidRPr="00A84F7F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ბაიჯანი, სომხეთი, თურქეთი)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სადაზღვევო პრემია;</w:t>
            </w:r>
          </w:p>
          <w:p w:rsidR="00BF0CA5" w:rsidRPr="0037622B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ფრანშიზა;</w:t>
            </w:r>
          </w:p>
          <w:p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ავტოტრანსპორტის სრული დაზიანება (განადგურება);</w:t>
            </w:r>
          </w:p>
          <w:p w:rsidR="00BF0CA5" w:rsidRPr="0037622B" w:rsidRDefault="00BF0CA5" w:rsidP="00BF0CA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განაცხადითა და პოლისით განსაზღვრული უფლებამოსილი მძღოლი;</w:t>
            </w:r>
          </w:p>
          <w:p w:rsidR="00BF0CA5" w:rsidRPr="00D00C6E" w:rsidRDefault="00BF0CA5" w:rsidP="00BF0C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proofErr w:type="spellStart"/>
            <w:proofErr w:type="gram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ამონაწერი</w:t>
            </w:r>
            <w:proofErr w:type="spellEnd"/>
            <w:proofErr w:type="gram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სამეწარმეო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რეესტრიდან</w:t>
            </w:r>
            <w:proofErr w:type="spellEnd"/>
            <w:r w:rsidRPr="0037622B"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ka-GE"/>
              </w:rPr>
              <w:t>, სრული დოკუმეტაცია კომპანიის შესახებ.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</w:p>
          <w:p w:rsidR="00BF0CA5" w:rsidRPr="00D00C6E" w:rsidRDefault="00BF0CA5" w:rsidP="00BF0CA5">
            <w:pP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proofErr w:type="gramStart"/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ფასები</w:t>
            </w:r>
            <w:proofErr w:type="spellEnd"/>
            <w:proofErr w:type="gramEnd"/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მოწოდებული უნდა იყოს ლარებში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ან დოლარში (გადახდა მოხდება გადახდის დღეს არსებული ეროვნული ბანკის კურსით).</w:t>
            </w:r>
          </w:p>
          <w:p w:rsidR="00BF0CA5" w:rsidRPr="0037622B" w:rsidRDefault="00BF0CA5" w:rsidP="00BF0CA5">
            <w:pPr>
              <w:spacing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lastRenderedPageBreak/>
              <w:t xml:space="preserve">გთხოვთ, ტენდერის მასალა მოგვაწოდოთ </w:t>
            </w:r>
            <w:r w:rsidR="00D00C6E"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დალუქული</w:t>
            </w: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კონვერტებით მისამართზე: </w:t>
            </w:r>
          </w:p>
          <w:p w:rsidR="00D00C6E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>თბილისი, ვაჟა-ფშაველას 71, მე-3 სართული, ოფისი 12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სს „ფინკა ბანკი საქართველო“, </w:t>
            </w:r>
            <w:r w:rsidRPr="002B2932">
              <w:rPr>
                <w:rFonts w:ascii="Sylfaen" w:eastAsia="Times New Roman" w:hAnsi="Sylfaen"/>
                <w:b/>
                <w:color w:val="000000" w:themeColor="text1"/>
                <w:sz w:val="18"/>
                <w:szCs w:val="18"/>
                <w:lang w:val="ka-GE"/>
              </w:rPr>
              <w:t>სათავო ოფისი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.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</w:p>
          <w:p w:rsidR="00D00C6E" w:rsidRPr="002B2932" w:rsidRDefault="00D00C6E" w:rsidP="00D00C6E">
            <w:pPr>
              <w:spacing w:line="240" w:lineRule="auto"/>
              <w:jc w:val="both"/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</w:pP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>კონვერტზე უნდა მიუთითოთ მონაწილე კომპანიის სახელწოდება ასევე, ტენდერის სახელწოდება და მოათავსოთ დალუქულ</w:t>
            </w:r>
            <w:r>
              <w:rPr>
                <w:rFonts w:ascii="Sylfaen" w:eastAsia="Times New Roman" w:hAnsi="Sylfaen"/>
                <w:color w:val="000000" w:themeColor="text1"/>
                <w:sz w:val="18"/>
                <w:szCs w:val="18"/>
              </w:rPr>
              <w:t xml:space="preserve"> </w:t>
            </w:r>
            <w:r w:rsidRPr="002B2932">
              <w:rPr>
                <w:rFonts w:ascii="Sylfaen" w:eastAsia="Times New Roman" w:hAnsi="Sylfaen"/>
                <w:color w:val="000000" w:themeColor="text1"/>
                <w:sz w:val="18"/>
                <w:szCs w:val="18"/>
                <w:lang w:val="ka-GE"/>
              </w:rPr>
              <w:t xml:space="preserve">სატენდერო ყუთში. </w:t>
            </w:r>
          </w:p>
          <w:p w:rsidR="00D00C6E" w:rsidRPr="00D00C6E" w:rsidRDefault="00D00C6E" w:rsidP="00D00C6E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სატენდერო წინადადების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შემოტანა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შესაძლებელია ყოველდღე შაბათ-კვირის გარდა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09:00-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დან 18:00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-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მდე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,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201</w:t>
            </w:r>
            <w:r w:rsidR="000E4928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8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წლის  </w:t>
            </w:r>
            <w:r w:rsidR="000E4928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10 აგვისტოს </w:t>
            </w:r>
            <w:r w:rsidR="00E51530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2B2932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ჩათვლით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.</w:t>
            </w:r>
          </w:p>
          <w:p w:rsidR="00665208" w:rsidRPr="0037622B" w:rsidRDefault="00BF0CA5" w:rsidP="00665208">
            <w:pPr>
              <w:jc w:val="both"/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br/>
            </w:r>
            <w:r w:rsidR="00665208"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      </w:r>
          </w:p>
          <w:p w:rsidR="00BF0CA5" w:rsidRPr="00686A0F" w:rsidRDefault="00665208" w:rsidP="00E5153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დამატ</w:t>
            </w:r>
            <w:r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>ებითი შეკითხვების არსებობის შემ</w:t>
            </w:r>
            <w:r w:rsidRPr="0037622B">
              <w:rPr>
                <w:rFonts w:ascii="Sylfaen" w:eastAsia="Times New Roman" w:hAnsi="Sylfaen"/>
                <w:color w:val="333333"/>
                <w:sz w:val="18"/>
                <w:szCs w:val="18"/>
                <w:lang w:val="ka-GE"/>
              </w:rPr>
              <w:t xml:space="preserve">თხვევაში, დაგვიკავშირდით ელ. ფოსტის მისამართზე: </w:t>
            </w:r>
            <w:hyperlink r:id="rId9" w:history="1">
              <w:r w:rsidRPr="000E4928">
                <w:rPr>
                  <w:rStyle w:val="Hyperlink"/>
                  <w:rFonts w:ascii="Sylfaen" w:hAnsi="Sylfaen"/>
                  <w:sz w:val="20"/>
                  <w:szCs w:val="18"/>
                  <w:lang w:val="ka-GE"/>
                </w:rPr>
                <w:t>lmujirishvili@finca.ge</w:t>
              </w:r>
            </w:hyperlink>
            <w:r w:rsidRPr="00470619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37622B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და</w:t>
            </w:r>
            <w:r w:rsidR="006E4B64" w:rsidRPr="006E4B6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hyperlink r:id="rId10" w:history="1">
              <w:r w:rsidR="00E51530" w:rsidRPr="00E51530">
                <w:rPr>
                  <w:rStyle w:val="Hyperlink"/>
                  <w:lang w:val="ka-GE"/>
                </w:rPr>
                <w:t>Ramina.Mamedova@finca.ge</w:t>
              </w:r>
            </w:hyperlink>
          </w:p>
        </w:tc>
      </w:tr>
    </w:tbl>
    <w:p w:rsidR="00317796" w:rsidRPr="00686A0F" w:rsidRDefault="00317796">
      <w:pPr>
        <w:rPr>
          <w:rFonts w:ascii="Sylfaen" w:hAnsi="Sylfaen"/>
          <w:sz w:val="18"/>
          <w:szCs w:val="18"/>
          <w:lang w:val="ka-GE"/>
        </w:rPr>
      </w:pPr>
    </w:p>
    <w:sectPr w:rsidR="00317796" w:rsidRPr="00686A0F" w:rsidSect="00120D65">
      <w:pgSz w:w="12240" w:h="15840"/>
      <w:pgMar w:top="14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41" w:rsidRDefault="00186341" w:rsidP="00424157">
      <w:pPr>
        <w:spacing w:after="0" w:line="240" w:lineRule="auto"/>
      </w:pPr>
      <w:r>
        <w:separator/>
      </w:r>
    </w:p>
  </w:endnote>
  <w:endnote w:type="continuationSeparator" w:id="0">
    <w:p w:rsidR="00186341" w:rsidRDefault="00186341" w:rsidP="0042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altName w:val="Times New Roman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41" w:rsidRDefault="00186341" w:rsidP="00424157">
      <w:pPr>
        <w:spacing w:after="0" w:line="240" w:lineRule="auto"/>
      </w:pPr>
      <w:r>
        <w:separator/>
      </w:r>
    </w:p>
  </w:footnote>
  <w:footnote w:type="continuationSeparator" w:id="0">
    <w:p w:rsidR="00186341" w:rsidRDefault="00186341" w:rsidP="0042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E0"/>
    <w:multiLevelType w:val="hybridMultilevel"/>
    <w:tmpl w:val="8C728E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B1A136A"/>
    <w:multiLevelType w:val="hybridMultilevel"/>
    <w:tmpl w:val="8E18AAB2"/>
    <w:lvl w:ilvl="0" w:tplc="6EAC355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272"/>
    <w:multiLevelType w:val="hybridMultilevel"/>
    <w:tmpl w:val="696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59C4"/>
    <w:multiLevelType w:val="hybridMultilevel"/>
    <w:tmpl w:val="9A02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E2EB3"/>
    <w:multiLevelType w:val="hybridMultilevel"/>
    <w:tmpl w:val="781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F"/>
    <w:rsid w:val="00020454"/>
    <w:rsid w:val="0005199F"/>
    <w:rsid w:val="000738D5"/>
    <w:rsid w:val="000818F7"/>
    <w:rsid w:val="000A0158"/>
    <w:rsid w:val="000C67D7"/>
    <w:rsid w:val="000D2764"/>
    <w:rsid w:val="000E4928"/>
    <w:rsid w:val="00102B9B"/>
    <w:rsid w:val="00106B3C"/>
    <w:rsid w:val="00115D93"/>
    <w:rsid w:val="00120D65"/>
    <w:rsid w:val="00170623"/>
    <w:rsid w:val="0017552E"/>
    <w:rsid w:val="0018538D"/>
    <w:rsid w:val="00186341"/>
    <w:rsid w:val="001903E7"/>
    <w:rsid w:val="00190FD1"/>
    <w:rsid w:val="001A0BC2"/>
    <w:rsid w:val="001C38CD"/>
    <w:rsid w:val="001F501C"/>
    <w:rsid w:val="001F5529"/>
    <w:rsid w:val="00203289"/>
    <w:rsid w:val="0022525B"/>
    <w:rsid w:val="002453E6"/>
    <w:rsid w:val="00274184"/>
    <w:rsid w:val="002A1F49"/>
    <w:rsid w:val="002B1450"/>
    <w:rsid w:val="002D0A9E"/>
    <w:rsid w:val="002D6B3A"/>
    <w:rsid w:val="003057D7"/>
    <w:rsid w:val="003117E1"/>
    <w:rsid w:val="00317796"/>
    <w:rsid w:val="00346878"/>
    <w:rsid w:val="00365C48"/>
    <w:rsid w:val="0037622B"/>
    <w:rsid w:val="003A272E"/>
    <w:rsid w:val="003D59C4"/>
    <w:rsid w:val="003F5FE8"/>
    <w:rsid w:val="00403340"/>
    <w:rsid w:val="00424157"/>
    <w:rsid w:val="0047586C"/>
    <w:rsid w:val="004B0CC6"/>
    <w:rsid w:val="00554B2C"/>
    <w:rsid w:val="00566EC3"/>
    <w:rsid w:val="00584F86"/>
    <w:rsid w:val="005A24F8"/>
    <w:rsid w:val="005B01F8"/>
    <w:rsid w:val="005C62C2"/>
    <w:rsid w:val="005D5CB0"/>
    <w:rsid w:val="005F439F"/>
    <w:rsid w:val="005F489E"/>
    <w:rsid w:val="00623351"/>
    <w:rsid w:val="00665208"/>
    <w:rsid w:val="00667EBE"/>
    <w:rsid w:val="00686A0F"/>
    <w:rsid w:val="006E4B64"/>
    <w:rsid w:val="00734E9A"/>
    <w:rsid w:val="0074440B"/>
    <w:rsid w:val="0074554B"/>
    <w:rsid w:val="00766F1B"/>
    <w:rsid w:val="007912A8"/>
    <w:rsid w:val="007A1851"/>
    <w:rsid w:val="007C4DDD"/>
    <w:rsid w:val="007C50C3"/>
    <w:rsid w:val="007E2C83"/>
    <w:rsid w:val="007E4945"/>
    <w:rsid w:val="007E4EEA"/>
    <w:rsid w:val="007F589D"/>
    <w:rsid w:val="008167C0"/>
    <w:rsid w:val="008572AE"/>
    <w:rsid w:val="008C4CE3"/>
    <w:rsid w:val="008D0790"/>
    <w:rsid w:val="008D3B50"/>
    <w:rsid w:val="008D6A33"/>
    <w:rsid w:val="008F4D63"/>
    <w:rsid w:val="008F7D06"/>
    <w:rsid w:val="00906996"/>
    <w:rsid w:val="0091123F"/>
    <w:rsid w:val="0093116F"/>
    <w:rsid w:val="00936B83"/>
    <w:rsid w:val="00941512"/>
    <w:rsid w:val="009417FF"/>
    <w:rsid w:val="009479B7"/>
    <w:rsid w:val="009566F8"/>
    <w:rsid w:val="009854B5"/>
    <w:rsid w:val="009958D7"/>
    <w:rsid w:val="009A3490"/>
    <w:rsid w:val="009A7E52"/>
    <w:rsid w:val="009B0114"/>
    <w:rsid w:val="009D2DE9"/>
    <w:rsid w:val="009D3DDE"/>
    <w:rsid w:val="009D5333"/>
    <w:rsid w:val="009F2792"/>
    <w:rsid w:val="00A0049D"/>
    <w:rsid w:val="00A15677"/>
    <w:rsid w:val="00A176B2"/>
    <w:rsid w:val="00A235F1"/>
    <w:rsid w:val="00A31B36"/>
    <w:rsid w:val="00A471BB"/>
    <w:rsid w:val="00A72A58"/>
    <w:rsid w:val="00A84F7F"/>
    <w:rsid w:val="00AA52CA"/>
    <w:rsid w:val="00AC067D"/>
    <w:rsid w:val="00AC77EE"/>
    <w:rsid w:val="00B238F2"/>
    <w:rsid w:val="00B320EA"/>
    <w:rsid w:val="00B4450A"/>
    <w:rsid w:val="00B45284"/>
    <w:rsid w:val="00B46E6C"/>
    <w:rsid w:val="00B51E31"/>
    <w:rsid w:val="00B5507C"/>
    <w:rsid w:val="00B6644B"/>
    <w:rsid w:val="00B72B63"/>
    <w:rsid w:val="00B85BD3"/>
    <w:rsid w:val="00B907C3"/>
    <w:rsid w:val="00BA5B5F"/>
    <w:rsid w:val="00BB5107"/>
    <w:rsid w:val="00BB54E0"/>
    <w:rsid w:val="00BC5B5E"/>
    <w:rsid w:val="00BC6AC2"/>
    <w:rsid w:val="00BF0CA5"/>
    <w:rsid w:val="00C37EFB"/>
    <w:rsid w:val="00C52C6B"/>
    <w:rsid w:val="00C82BF3"/>
    <w:rsid w:val="00CC3B91"/>
    <w:rsid w:val="00CF6F77"/>
    <w:rsid w:val="00D00C6E"/>
    <w:rsid w:val="00D06FEF"/>
    <w:rsid w:val="00D53FEA"/>
    <w:rsid w:val="00D76823"/>
    <w:rsid w:val="00D86B04"/>
    <w:rsid w:val="00D978EE"/>
    <w:rsid w:val="00DC7B78"/>
    <w:rsid w:val="00DE484C"/>
    <w:rsid w:val="00DF622E"/>
    <w:rsid w:val="00E02EEF"/>
    <w:rsid w:val="00E03F9E"/>
    <w:rsid w:val="00E453AB"/>
    <w:rsid w:val="00E51530"/>
    <w:rsid w:val="00E5212C"/>
    <w:rsid w:val="00E64F13"/>
    <w:rsid w:val="00E82761"/>
    <w:rsid w:val="00E83506"/>
    <w:rsid w:val="00E86D18"/>
    <w:rsid w:val="00E9556F"/>
    <w:rsid w:val="00EC6F89"/>
    <w:rsid w:val="00ED673E"/>
    <w:rsid w:val="00EE0ACA"/>
    <w:rsid w:val="00F02DA6"/>
    <w:rsid w:val="00F20590"/>
    <w:rsid w:val="00F3582E"/>
    <w:rsid w:val="00F431DB"/>
    <w:rsid w:val="00F7741B"/>
    <w:rsid w:val="00FC17CA"/>
    <w:rsid w:val="00FC7AA1"/>
    <w:rsid w:val="00FD70CF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57"/>
  </w:style>
  <w:style w:type="paragraph" w:styleId="Footer">
    <w:name w:val="footer"/>
    <w:basedOn w:val="Normal"/>
    <w:link w:val="Foot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57"/>
  </w:style>
  <w:style w:type="character" w:styleId="Hyperlink">
    <w:name w:val="Hyperlink"/>
    <w:basedOn w:val="DefaultParagraphFont"/>
    <w:uiPriority w:val="99"/>
    <w:unhideWhenUsed/>
    <w:rsid w:val="00E83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57"/>
  </w:style>
  <w:style w:type="paragraph" w:styleId="Footer">
    <w:name w:val="footer"/>
    <w:basedOn w:val="Normal"/>
    <w:link w:val="FooterChar"/>
    <w:uiPriority w:val="99"/>
    <w:unhideWhenUsed/>
    <w:rsid w:val="00424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57"/>
  </w:style>
  <w:style w:type="character" w:styleId="Hyperlink">
    <w:name w:val="Hyperlink"/>
    <w:basedOn w:val="DefaultParagraphFont"/>
    <w:uiPriority w:val="99"/>
    <w:unhideWhenUsed/>
    <w:rsid w:val="00E835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mina.Mamedova@finca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ujirishvili@finc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Ramina Mamedova</cp:lastModifiedBy>
  <cp:revision>22</cp:revision>
  <cp:lastPrinted>2015-06-15T11:52:00Z</cp:lastPrinted>
  <dcterms:created xsi:type="dcterms:W3CDTF">2016-06-06T07:15:00Z</dcterms:created>
  <dcterms:modified xsi:type="dcterms:W3CDTF">2018-07-17T08:10:00Z</dcterms:modified>
</cp:coreProperties>
</file>